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C9" w:rsidRDefault="000252C9" w:rsidP="00984E25">
      <w:pPr>
        <w:pStyle w:val="1"/>
        <w:spacing w:before="0" w:after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ГЛАВА 4.4</w:t>
      </w:r>
    </w:p>
    <w:p w:rsidR="000252C9" w:rsidRDefault="000252C9" w:rsidP="00984E25">
      <w:pPr>
        <w:pStyle w:val="1"/>
        <w:spacing w:before="0" w:after="120"/>
        <w:jc w:val="center"/>
        <w:rPr>
          <w:sz w:val="24"/>
          <w:szCs w:val="24"/>
          <w:lang w:val="ru-RU"/>
        </w:rPr>
      </w:pPr>
      <w:r>
        <w:rPr>
          <w:caps/>
          <w:sz w:val="24"/>
          <w:szCs w:val="24"/>
          <w:lang w:val="ru-RU"/>
        </w:rPr>
        <w:t>ИСПОЛЬЗОВАНИЕ КОНТЕЙНЕРОВ-ЦИСТЕРН, съемных кузовов-цистерн ИЗ АРМИРОВАННЫХ ВОЛОКНОМ ПЛАСТМАСС (ВОЛОКНИТА</w:t>
      </w:r>
      <w:r>
        <w:rPr>
          <w:sz w:val="24"/>
          <w:szCs w:val="24"/>
          <w:lang w:val="ru-RU"/>
        </w:rPr>
        <w:t>)</w:t>
      </w:r>
    </w:p>
    <w:p w:rsidR="000252C9" w:rsidRDefault="000252C9" w:rsidP="00984E25">
      <w:pPr>
        <w:pStyle w:val="russian"/>
        <w:tabs>
          <w:tab w:val="clear" w:pos="993"/>
          <w:tab w:val="left" w:pos="2552"/>
        </w:tabs>
        <w:spacing w:before="0" w:after="0"/>
        <w:ind w:left="2552" w:hanging="1418"/>
      </w:pPr>
      <w:r>
        <w:rPr>
          <w:b/>
          <w:i/>
        </w:rPr>
        <w:t>Примечание:</w:t>
      </w:r>
      <w:r w:rsidR="00984E25" w:rsidRPr="00E13465">
        <w:rPr>
          <w:b/>
          <w:i/>
        </w:rPr>
        <w:tab/>
      </w:r>
      <w:proofErr w:type="gramStart"/>
      <w:r>
        <w:rPr>
          <w:i/>
        </w:rPr>
        <w:t xml:space="preserve">В отношении переносных цистерн и многоэлементных газовых контейнеров ООН (МЭГК) см. главу 4.2; в отношении вагонов-цистерн, съемных цистерн, контейнеров-цистерн и съемных кузовов-цистерн, котлы которых изготовлены из металлических материалов, а также вагонов-батарей и многоэлементных газовых контейнеров (МЭГК), за исключением МЭГК ООН, см. главу 4.3; в отношении </w:t>
      </w:r>
      <w:r>
        <w:rPr>
          <w:bCs/>
          <w:i/>
          <w:iCs/>
        </w:rPr>
        <w:t>вакуумных цистерн для отходов</w:t>
      </w:r>
      <w:r>
        <w:rPr>
          <w:i/>
        </w:rPr>
        <w:t>, см. главу 4.5</w:t>
      </w:r>
      <w:r>
        <w:t>.</w:t>
      </w:r>
      <w:proofErr w:type="gramEnd"/>
    </w:p>
    <w:p w:rsidR="000252C9" w:rsidRDefault="00984E25" w:rsidP="00984E25">
      <w:pPr>
        <w:pStyle w:val="2"/>
        <w:spacing w:before="120" w:after="120"/>
        <w:ind w:left="1134" w:hanging="1134"/>
        <w:rPr>
          <w:i w:val="0"/>
          <w:iCs w:val="0"/>
          <w:sz w:val="20"/>
          <w:lang w:val="ru-RU"/>
        </w:rPr>
      </w:pPr>
      <w:r w:rsidRPr="00984E25">
        <w:rPr>
          <w:i w:val="0"/>
          <w:iCs w:val="0"/>
          <w:sz w:val="20"/>
          <w:lang w:val="ru-RU"/>
        </w:rPr>
        <w:t>4</w:t>
      </w:r>
      <w:r>
        <w:rPr>
          <w:i w:val="0"/>
          <w:iCs w:val="0"/>
          <w:sz w:val="20"/>
          <w:lang w:val="ru-RU"/>
        </w:rPr>
        <w:t>.4.1</w:t>
      </w:r>
      <w:r>
        <w:rPr>
          <w:i w:val="0"/>
          <w:iCs w:val="0"/>
          <w:sz w:val="20"/>
          <w:lang w:val="ru-RU"/>
        </w:rPr>
        <w:tab/>
      </w:r>
      <w:r w:rsidR="000252C9">
        <w:rPr>
          <w:i w:val="0"/>
          <w:iCs w:val="0"/>
          <w:sz w:val="20"/>
          <w:lang w:val="ru-RU"/>
        </w:rPr>
        <w:t>ОБЩИЕ ПОЛОЖЕНИЯ</w:t>
      </w:r>
    </w:p>
    <w:p w:rsidR="000252C9" w:rsidRDefault="000252C9" w:rsidP="00984E25">
      <w:pPr>
        <w:pStyle w:val="russian"/>
        <w:tabs>
          <w:tab w:val="clear" w:pos="993"/>
          <w:tab w:val="left" w:pos="1134"/>
        </w:tabs>
        <w:spacing w:before="0" w:after="0"/>
        <w:ind w:left="1134" w:firstLine="0"/>
      </w:pPr>
      <w:r>
        <w:t>Перевозка опасных веществ в контейнерах-цистернах (съемных кузовах-цистернах) из армированных волокном пластмасс (</w:t>
      </w:r>
      <w:proofErr w:type="spellStart"/>
      <w:r>
        <w:t>волокнита</w:t>
      </w:r>
      <w:proofErr w:type="spellEnd"/>
      <w:r>
        <w:t>) разрешается только при соблюдении следующих условий:</w:t>
      </w:r>
    </w:p>
    <w:p w:rsidR="000252C9" w:rsidRDefault="000252C9" w:rsidP="00984E25">
      <w:pPr>
        <w:pStyle w:val="magyind"/>
        <w:tabs>
          <w:tab w:val="clear" w:pos="851"/>
          <w:tab w:val="clear" w:pos="993"/>
          <w:tab w:val="left" w:pos="1134"/>
        </w:tabs>
        <w:spacing w:before="0" w:after="0"/>
        <w:ind w:left="1134"/>
        <w:rPr>
          <w:lang w:val="ru-RU"/>
        </w:rPr>
      </w:pPr>
      <w:r>
        <w:rPr>
          <w:lang w:val="ru-RU"/>
        </w:rPr>
        <w:t>а)</w:t>
      </w:r>
      <w:r>
        <w:rPr>
          <w:lang w:val="ru-RU"/>
        </w:rPr>
        <w:tab/>
        <w:t>вещество отнесено к классам 3, 5.1, 6.1, 6.2, 8 или 9;</w:t>
      </w:r>
    </w:p>
    <w:p w:rsidR="000252C9" w:rsidRDefault="000252C9" w:rsidP="00984E25">
      <w:pPr>
        <w:pStyle w:val="magyind"/>
        <w:tabs>
          <w:tab w:val="clear" w:pos="851"/>
          <w:tab w:val="clear" w:pos="993"/>
          <w:tab w:val="left" w:pos="1134"/>
        </w:tabs>
        <w:spacing w:before="0" w:after="0"/>
        <w:ind w:left="1134"/>
        <w:rPr>
          <w:lang w:val="ru-RU"/>
        </w:rPr>
      </w:pPr>
      <w:r>
        <w:rPr>
          <w:lang w:val="ru-RU"/>
        </w:rPr>
        <w:t>б)</w:t>
      </w:r>
      <w:r>
        <w:rPr>
          <w:lang w:val="ru-RU"/>
        </w:rPr>
        <w:tab/>
        <w:t>максимальное давление паров (абсолютное давление) вещества при 50</w:t>
      </w:r>
      <w:proofErr w:type="gramStart"/>
      <w:r w:rsidR="00906CDE">
        <w:rPr>
          <w:lang w:val="ru-RU"/>
        </w:rPr>
        <w:t xml:space="preserve"> </w:t>
      </w:r>
      <w:r>
        <w:rPr>
          <w:lang w:val="ru-RU"/>
        </w:rPr>
        <w:t>°С</w:t>
      </w:r>
      <w:proofErr w:type="gramEnd"/>
      <w:r>
        <w:rPr>
          <w:lang w:val="ru-RU"/>
        </w:rPr>
        <w:t xml:space="preserve"> не превышает 110 кПа (1,1 бар);</w:t>
      </w:r>
    </w:p>
    <w:p w:rsidR="000252C9" w:rsidRDefault="000252C9" w:rsidP="00984E25">
      <w:pPr>
        <w:pStyle w:val="magyind"/>
        <w:tabs>
          <w:tab w:val="clear" w:pos="851"/>
          <w:tab w:val="clear" w:pos="993"/>
          <w:tab w:val="left" w:pos="1134"/>
        </w:tabs>
        <w:spacing w:before="0" w:after="0"/>
        <w:ind w:left="1134"/>
        <w:rPr>
          <w:lang w:val="ru-RU"/>
        </w:rPr>
      </w:pPr>
      <w:r>
        <w:rPr>
          <w:lang w:val="ru-RU"/>
        </w:rPr>
        <w:t>в)</w:t>
      </w:r>
      <w:r>
        <w:rPr>
          <w:lang w:val="ru-RU"/>
        </w:rPr>
        <w:tab/>
        <w:t>перевозка вещества в металлических цистернах разрешена согласно п. 4.3.2.1.1;</w:t>
      </w:r>
    </w:p>
    <w:p w:rsidR="000252C9" w:rsidRDefault="000252C9" w:rsidP="00984E25">
      <w:pPr>
        <w:pStyle w:val="magyind"/>
        <w:tabs>
          <w:tab w:val="clear" w:pos="851"/>
          <w:tab w:val="clear" w:pos="993"/>
          <w:tab w:val="left" w:pos="1134"/>
        </w:tabs>
        <w:spacing w:before="0" w:after="0"/>
        <w:ind w:left="1134"/>
        <w:rPr>
          <w:lang w:val="ru-RU"/>
        </w:rPr>
      </w:pPr>
      <w:r>
        <w:rPr>
          <w:lang w:val="ru-RU"/>
        </w:rPr>
        <w:t>г)</w:t>
      </w:r>
      <w:r>
        <w:rPr>
          <w:lang w:val="ru-RU"/>
        </w:rPr>
        <w:tab/>
        <w:t>расчетное давление, указанное для этого вещества в части 2 кода цистерны, приведенного в колонке 12 таблицы</w:t>
      </w:r>
      <w:proofErr w:type="gramStart"/>
      <w:r>
        <w:rPr>
          <w:lang w:val="ru-RU"/>
        </w:rPr>
        <w:t xml:space="preserve"> А</w:t>
      </w:r>
      <w:proofErr w:type="gramEnd"/>
      <w:r>
        <w:rPr>
          <w:lang w:val="ru-RU"/>
        </w:rPr>
        <w:t xml:space="preserve"> главы 3.2, не превышает 4 бар (см. также п. 4.3.4.1.1); и</w:t>
      </w:r>
    </w:p>
    <w:p w:rsidR="000252C9" w:rsidRDefault="000252C9" w:rsidP="00984E25">
      <w:pPr>
        <w:pStyle w:val="magyind"/>
        <w:tabs>
          <w:tab w:val="clear" w:pos="851"/>
          <w:tab w:val="clear" w:pos="993"/>
          <w:tab w:val="left" w:pos="1134"/>
        </w:tabs>
        <w:spacing w:before="0" w:after="120"/>
        <w:ind w:left="1134"/>
        <w:rPr>
          <w:lang w:val="ru-RU"/>
        </w:rPr>
      </w:pPr>
      <w:proofErr w:type="spellStart"/>
      <w:r>
        <w:rPr>
          <w:lang w:val="ru-RU"/>
        </w:rPr>
        <w:t>д</w:t>
      </w:r>
      <w:proofErr w:type="spellEnd"/>
      <w:r>
        <w:rPr>
          <w:lang w:val="ru-RU"/>
        </w:rPr>
        <w:t>)</w:t>
      </w:r>
      <w:r>
        <w:rPr>
          <w:lang w:val="ru-RU"/>
        </w:rPr>
        <w:tab/>
        <w:t>контейнеры-цистерны (съемные кузова-цистерны), соответствуют положениям главы 6.9, применимым к перевозке данного вещества.</w:t>
      </w:r>
    </w:p>
    <w:p w:rsidR="000252C9" w:rsidRDefault="000252C9" w:rsidP="00984E25">
      <w:pPr>
        <w:pStyle w:val="2"/>
        <w:spacing w:before="120" w:after="120"/>
        <w:ind w:left="1134" w:hanging="1134"/>
        <w:rPr>
          <w:i w:val="0"/>
          <w:iCs w:val="0"/>
          <w:sz w:val="20"/>
          <w:lang w:val="ru-RU"/>
        </w:rPr>
      </w:pPr>
      <w:r>
        <w:rPr>
          <w:i w:val="0"/>
          <w:iCs w:val="0"/>
          <w:sz w:val="20"/>
          <w:lang w:val="ru-RU"/>
        </w:rPr>
        <w:t>4.4.2</w:t>
      </w:r>
      <w:r>
        <w:rPr>
          <w:i w:val="0"/>
          <w:iCs w:val="0"/>
          <w:sz w:val="20"/>
          <w:lang w:val="ru-RU"/>
        </w:rPr>
        <w:tab/>
        <w:t>ЭКСПЛУАТАЦИЯ</w:t>
      </w:r>
    </w:p>
    <w:p w:rsidR="000252C9" w:rsidRDefault="000252C9" w:rsidP="00984E25">
      <w:pPr>
        <w:pStyle w:val="russian"/>
        <w:tabs>
          <w:tab w:val="clear" w:pos="993"/>
          <w:tab w:val="left" w:pos="1134"/>
        </w:tabs>
        <w:spacing w:before="0"/>
        <w:ind w:left="1134" w:hanging="1134"/>
      </w:pPr>
      <w:r>
        <w:rPr>
          <w:b/>
        </w:rPr>
        <w:t>4.4.2.1</w:t>
      </w:r>
      <w:proofErr w:type="gramStart"/>
      <w:r>
        <w:tab/>
        <w:t>П</w:t>
      </w:r>
      <w:proofErr w:type="gramEnd"/>
      <w:r>
        <w:t>рименяются положения п.п. 4.3.2.1.5–4.3.2.2.4, 4.3.2.3.3–4.3.2.3.6, 4.3.2.4.1, 4.3.2.4.2, 4.3.4.1 и 4.3.4.2.</w:t>
      </w:r>
    </w:p>
    <w:p w:rsidR="000252C9" w:rsidRDefault="000252C9" w:rsidP="00984E25">
      <w:pPr>
        <w:pStyle w:val="russian"/>
        <w:tabs>
          <w:tab w:val="clear" w:pos="993"/>
          <w:tab w:val="left" w:pos="1134"/>
        </w:tabs>
        <w:spacing w:before="0"/>
        <w:ind w:left="1134" w:hanging="1134"/>
      </w:pPr>
      <w:r>
        <w:rPr>
          <w:b/>
        </w:rPr>
        <w:t>4.4.2.2</w:t>
      </w:r>
      <w:proofErr w:type="gramStart"/>
      <w:r>
        <w:tab/>
        <w:t>П</w:t>
      </w:r>
      <w:proofErr w:type="gramEnd"/>
      <w:r>
        <w:t>ри наполнении температура перевозимого вещества не должна превышать максимальную расчетную температуру, указанную на прикрепленной к цистерне табличке, предписанной в разделе 6.9.6.</w:t>
      </w:r>
    </w:p>
    <w:p w:rsidR="000252C9" w:rsidRDefault="000252C9" w:rsidP="00984E25">
      <w:pPr>
        <w:tabs>
          <w:tab w:val="left" w:pos="1134"/>
        </w:tabs>
        <w:spacing w:after="60"/>
        <w:ind w:left="1134" w:hanging="1134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lang w:val="ru-RU"/>
        </w:rPr>
        <w:t>4.4.2.3</w:t>
      </w:r>
      <w:proofErr w:type="gramStart"/>
      <w:r>
        <w:rPr>
          <w:rFonts w:ascii="Arial" w:hAnsi="Arial" w:cs="Arial"/>
          <w:lang w:val="ru-RU"/>
        </w:rPr>
        <w:tab/>
        <w:t>П</w:t>
      </w:r>
      <w:proofErr w:type="gramEnd"/>
      <w:r>
        <w:rPr>
          <w:rFonts w:ascii="Arial" w:hAnsi="Arial" w:cs="Arial"/>
          <w:lang w:val="ru-RU"/>
        </w:rPr>
        <w:t>рименяются также специальные положения (</w:t>
      </w:r>
      <w:r>
        <w:rPr>
          <w:rFonts w:ascii="Arial" w:hAnsi="Arial" w:cs="Arial"/>
        </w:rPr>
        <w:t>TU</w:t>
      </w:r>
      <w:r>
        <w:rPr>
          <w:rFonts w:ascii="Arial" w:hAnsi="Arial" w:cs="Arial"/>
          <w:lang w:val="ru-RU"/>
        </w:rPr>
        <w:t xml:space="preserve">) раздела 4.3.5, указанные в колонке 13 таблицы А главы 3.2, если </w:t>
      </w:r>
      <w:r w:rsidR="00906CDE">
        <w:rPr>
          <w:rFonts w:ascii="Arial" w:hAnsi="Arial" w:cs="Arial"/>
          <w:lang w:val="ru-RU"/>
        </w:rPr>
        <w:t xml:space="preserve">данные </w:t>
      </w:r>
      <w:r>
        <w:rPr>
          <w:rFonts w:ascii="Arial" w:hAnsi="Arial" w:cs="Arial"/>
          <w:lang w:val="ru-RU"/>
        </w:rPr>
        <w:t>специальные положения применяются к перевозке в металлических цистернах.</w:t>
      </w:r>
    </w:p>
    <w:p w:rsidR="000252C9" w:rsidRDefault="000252C9">
      <w:pPr>
        <w:pStyle w:val="a4"/>
        <w:tabs>
          <w:tab w:val="clear" w:pos="0"/>
          <w:tab w:val="clear" w:pos="720"/>
          <w:tab w:val="clear" w:pos="1134"/>
          <w:tab w:val="clear" w:pos="2520"/>
          <w:tab w:val="left" w:pos="1276"/>
          <w:tab w:val="left" w:pos="4536"/>
        </w:tabs>
        <w:ind w:left="0" w:firstLine="0"/>
        <w:rPr>
          <w:rFonts w:ascii="Times New Roman" w:hAnsi="Times New Roman"/>
          <w:color w:val="000000"/>
          <w:sz w:val="28"/>
        </w:rPr>
      </w:pPr>
    </w:p>
    <w:p w:rsidR="002A2B0C" w:rsidRDefault="002A2B0C" w:rsidP="00906CDE">
      <w:pPr>
        <w:pStyle w:val="a4"/>
        <w:tabs>
          <w:tab w:val="clear" w:pos="0"/>
          <w:tab w:val="clear" w:pos="720"/>
          <w:tab w:val="clear" w:pos="1134"/>
          <w:tab w:val="clear" w:pos="2520"/>
          <w:tab w:val="left" w:pos="1276"/>
          <w:tab w:val="left" w:pos="4536"/>
        </w:tabs>
        <w:ind w:left="0" w:firstLine="0"/>
        <w:rPr>
          <w:rFonts w:ascii="Times New Roman" w:hAnsi="Times New Roman"/>
          <w:color w:val="000000"/>
          <w:sz w:val="28"/>
          <w:lang w:val="ru-RU"/>
        </w:rPr>
      </w:pPr>
    </w:p>
    <w:p w:rsidR="002A2B0C" w:rsidRPr="002A2B0C" w:rsidRDefault="002A2B0C" w:rsidP="002A2B0C">
      <w:pPr>
        <w:rPr>
          <w:lang w:val="ru-RU"/>
        </w:rPr>
      </w:pPr>
    </w:p>
    <w:p w:rsidR="002A2B0C" w:rsidRPr="002A2B0C" w:rsidRDefault="002A2B0C" w:rsidP="002A2B0C">
      <w:pPr>
        <w:rPr>
          <w:lang w:val="ru-RU"/>
        </w:rPr>
      </w:pPr>
    </w:p>
    <w:p w:rsidR="002A2B0C" w:rsidRPr="002A2B0C" w:rsidRDefault="002A2B0C" w:rsidP="002A2B0C">
      <w:pPr>
        <w:rPr>
          <w:lang w:val="ru-RU"/>
        </w:rPr>
      </w:pPr>
    </w:p>
    <w:p w:rsidR="002A2B0C" w:rsidRDefault="002A2B0C" w:rsidP="002A2B0C">
      <w:pPr>
        <w:rPr>
          <w:lang w:val="ru-RU"/>
        </w:rPr>
      </w:pPr>
    </w:p>
    <w:p w:rsidR="002A2B0C" w:rsidRDefault="002A2B0C" w:rsidP="002A2B0C">
      <w:pPr>
        <w:rPr>
          <w:lang w:val="ru-RU"/>
        </w:rPr>
      </w:pPr>
    </w:p>
    <w:p w:rsidR="000252C9" w:rsidRPr="002A2B0C" w:rsidRDefault="002A2B0C" w:rsidP="002A2B0C">
      <w:pPr>
        <w:tabs>
          <w:tab w:val="left" w:pos="5395"/>
        </w:tabs>
        <w:rPr>
          <w:lang w:val="ru-RU"/>
        </w:rPr>
      </w:pPr>
      <w:r>
        <w:rPr>
          <w:lang w:val="ru-RU"/>
        </w:rPr>
        <w:tab/>
      </w:r>
    </w:p>
    <w:sectPr w:rsidR="000252C9" w:rsidRPr="002A2B0C" w:rsidSect="000A00AD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527" w:right="1134" w:bottom="851" w:left="1134" w:header="851" w:footer="592" w:gutter="567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0B2" w:rsidRDefault="00BC30B2">
      <w:r>
        <w:separator/>
      </w:r>
    </w:p>
  </w:endnote>
  <w:endnote w:type="continuationSeparator" w:id="0">
    <w:p w:rsidR="00BC30B2" w:rsidRDefault="00BC3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2C9" w:rsidRDefault="0008752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252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52C9" w:rsidRDefault="000252C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2C9" w:rsidRDefault="000252C9">
    <w:pPr>
      <w:pStyle w:val="a7"/>
      <w:framePr w:wrap="around" w:vAnchor="text" w:hAnchor="margin" w:xAlign="center" w:y="1"/>
      <w:rPr>
        <w:rStyle w:val="a6"/>
        <w:rFonts w:ascii="Arial" w:hAnsi="Arial" w:cs="Arial"/>
        <w:sz w:val="22"/>
        <w:szCs w:val="22"/>
      </w:rPr>
    </w:pPr>
    <w:r>
      <w:rPr>
        <w:rStyle w:val="a6"/>
        <w:rFonts w:ascii="Arial" w:hAnsi="Arial" w:cs="Arial"/>
        <w:sz w:val="22"/>
        <w:szCs w:val="22"/>
      </w:rPr>
      <w:t>4.4-</w:t>
    </w:r>
    <w:r w:rsidR="0008752B">
      <w:rPr>
        <w:rStyle w:val="a6"/>
        <w:rFonts w:ascii="Arial" w:hAnsi="Arial" w:cs="Arial"/>
        <w:sz w:val="22"/>
        <w:szCs w:val="22"/>
      </w:rPr>
      <w:fldChar w:fldCharType="begin"/>
    </w:r>
    <w:r>
      <w:rPr>
        <w:rStyle w:val="a6"/>
        <w:rFonts w:ascii="Arial" w:hAnsi="Arial" w:cs="Arial"/>
        <w:sz w:val="22"/>
        <w:szCs w:val="22"/>
      </w:rPr>
      <w:instrText xml:space="preserve">PAGE  </w:instrText>
    </w:r>
    <w:r w:rsidR="0008752B">
      <w:rPr>
        <w:rStyle w:val="a6"/>
        <w:rFonts w:ascii="Arial" w:hAnsi="Arial" w:cs="Arial"/>
        <w:sz w:val="22"/>
        <w:szCs w:val="22"/>
      </w:rPr>
      <w:fldChar w:fldCharType="separate"/>
    </w:r>
    <w:r w:rsidR="002A2B0C">
      <w:rPr>
        <w:rStyle w:val="a6"/>
        <w:rFonts w:ascii="Arial" w:hAnsi="Arial" w:cs="Arial"/>
        <w:noProof/>
        <w:sz w:val="22"/>
        <w:szCs w:val="22"/>
      </w:rPr>
      <w:t>1</w:t>
    </w:r>
    <w:r w:rsidR="0008752B">
      <w:rPr>
        <w:rStyle w:val="a6"/>
        <w:rFonts w:ascii="Arial" w:hAnsi="Arial" w:cs="Arial"/>
        <w:sz w:val="22"/>
        <w:szCs w:val="22"/>
      </w:rPr>
      <w:fldChar w:fldCharType="end"/>
    </w:r>
  </w:p>
  <w:p w:rsidR="000252C9" w:rsidRDefault="000252C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0B2" w:rsidRDefault="00BC30B2">
      <w:r>
        <w:separator/>
      </w:r>
    </w:p>
  </w:footnote>
  <w:footnote w:type="continuationSeparator" w:id="0">
    <w:p w:rsidR="00BC30B2" w:rsidRDefault="00BC3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2C9" w:rsidRDefault="0008752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252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52C9" w:rsidRDefault="000252C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2C9" w:rsidRDefault="000252C9">
    <w:pPr>
      <w:pStyle w:val="a5"/>
      <w:rPr>
        <w:sz w:val="20"/>
        <w:lang w:val="ru-RU"/>
      </w:rPr>
    </w:pPr>
    <w:r>
      <w:rPr>
        <w:sz w:val="20"/>
        <w:lang w:val="ru-RU"/>
      </w:rPr>
      <w:tab/>
    </w:r>
    <w:r>
      <w:rPr>
        <w:sz w:val="20"/>
        <w:lang w:val="ru-RU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5026B"/>
    <w:multiLevelType w:val="multilevel"/>
    <w:tmpl w:val="F6A22FD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54FD2A80"/>
    <w:multiLevelType w:val="multilevel"/>
    <w:tmpl w:val="3F3A123C"/>
    <w:lvl w:ilvl="0">
      <w:start w:val="4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E25"/>
    <w:rsid w:val="000252C9"/>
    <w:rsid w:val="0008752B"/>
    <w:rsid w:val="000A00AD"/>
    <w:rsid w:val="001A0970"/>
    <w:rsid w:val="00266453"/>
    <w:rsid w:val="002A2B0C"/>
    <w:rsid w:val="002B16B4"/>
    <w:rsid w:val="002E1695"/>
    <w:rsid w:val="002F7165"/>
    <w:rsid w:val="003A6FBB"/>
    <w:rsid w:val="003B3DB2"/>
    <w:rsid w:val="003D2017"/>
    <w:rsid w:val="005E5500"/>
    <w:rsid w:val="006C2238"/>
    <w:rsid w:val="007646C9"/>
    <w:rsid w:val="00796439"/>
    <w:rsid w:val="00906CDE"/>
    <w:rsid w:val="00984E25"/>
    <w:rsid w:val="00A277AA"/>
    <w:rsid w:val="00B142DB"/>
    <w:rsid w:val="00BC30B2"/>
    <w:rsid w:val="00DC5B43"/>
    <w:rsid w:val="00DF78EF"/>
    <w:rsid w:val="00E13465"/>
    <w:rsid w:val="00E56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6531"/>
    <w:rPr>
      <w:lang w:val="pl-PL" w:eastAsia="pl-PL"/>
    </w:rPr>
  </w:style>
  <w:style w:type="paragraph" w:styleId="1">
    <w:name w:val="heading 1"/>
    <w:basedOn w:val="a"/>
    <w:next w:val="a"/>
    <w:qFormat/>
    <w:rsid w:val="00E565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5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russian"/>
    <w:next w:val="a"/>
    <w:qFormat/>
    <w:rsid w:val="00E56531"/>
    <w:pPr>
      <w:keepNext/>
      <w:numPr>
        <w:ilvl w:val="12"/>
      </w:numPr>
      <w:tabs>
        <w:tab w:val="left" w:pos="1418"/>
        <w:tab w:val="left" w:pos="1701"/>
        <w:tab w:val="left" w:pos="2268"/>
        <w:tab w:val="left" w:pos="2835"/>
        <w:tab w:val="left" w:pos="3402"/>
      </w:tabs>
      <w:ind w:left="993" w:hanging="993"/>
      <w:jc w:val="center"/>
      <w:outlineLvl w:val="6"/>
    </w:pPr>
    <w:rPr>
      <w:b/>
      <w:sz w:val="24"/>
    </w:rPr>
  </w:style>
  <w:style w:type="paragraph" w:styleId="8">
    <w:name w:val="heading 8"/>
    <w:basedOn w:val="russian"/>
    <w:next w:val="a"/>
    <w:qFormat/>
    <w:rsid w:val="00E56531"/>
    <w:pPr>
      <w:keepNext/>
      <w:tabs>
        <w:tab w:val="left" w:pos="1418"/>
        <w:tab w:val="left" w:pos="2835"/>
        <w:tab w:val="left" w:pos="3402"/>
      </w:tabs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56531"/>
    <w:pPr>
      <w:keepNext/>
      <w:keepLines/>
    </w:pPr>
    <w:rPr>
      <w:sz w:val="24"/>
      <w:lang w:val="en-GB"/>
    </w:rPr>
  </w:style>
  <w:style w:type="paragraph" w:styleId="a4">
    <w:name w:val="Body Text Indent"/>
    <w:basedOn w:val="a"/>
    <w:rsid w:val="00E56531"/>
    <w:pPr>
      <w:tabs>
        <w:tab w:val="left" w:pos="0"/>
        <w:tab w:val="left" w:pos="720"/>
        <w:tab w:val="left" w:pos="1134"/>
        <w:tab w:val="left" w:pos="1440"/>
        <w:tab w:val="left" w:pos="2160"/>
        <w:tab w:val="left" w:pos="25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18"/>
        <w:tab w:val="left" w:pos="12238"/>
        <w:tab w:val="left" w:pos="12958"/>
      </w:tabs>
      <w:ind w:left="2520" w:hanging="1386"/>
    </w:pPr>
    <w:rPr>
      <w:rFonts w:ascii="CG Times" w:hAnsi="CG Times"/>
      <w:b/>
      <w:sz w:val="22"/>
    </w:rPr>
  </w:style>
  <w:style w:type="paragraph" w:styleId="20">
    <w:name w:val="Body Text Indent 2"/>
    <w:basedOn w:val="a"/>
    <w:rsid w:val="00E56531"/>
    <w:pPr>
      <w:tabs>
        <w:tab w:val="left" w:pos="-1246"/>
        <w:tab w:val="left" w:pos="-720"/>
        <w:tab w:val="left" w:pos="0"/>
        <w:tab w:val="left" w:pos="962"/>
      </w:tabs>
      <w:ind w:left="1701" w:hanging="567"/>
      <w:jc w:val="both"/>
    </w:pPr>
  </w:style>
  <w:style w:type="paragraph" w:styleId="a5">
    <w:name w:val="header"/>
    <w:basedOn w:val="a"/>
    <w:rsid w:val="00E56531"/>
    <w:pPr>
      <w:tabs>
        <w:tab w:val="center" w:pos="4536"/>
        <w:tab w:val="right" w:pos="9072"/>
      </w:tabs>
    </w:pPr>
    <w:rPr>
      <w:sz w:val="24"/>
      <w:lang w:val="en-GB"/>
    </w:rPr>
  </w:style>
  <w:style w:type="character" w:styleId="a6">
    <w:name w:val="page number"/>
    <w:basedOn w:val="a0"/>
    <w:rsid w:val="00E56531"/>
  </w:style>
  <w:style w:type="paragraph" w:styleId="a7">
    <w:name w:val="footer"/>
    <w:basedOn w:val="a"/>
    <w:rsid w:val="00E56531"/>
    <w:pPr>
      <w:tabs>
        <w:tab w:val="center" w:pos="4536"/>
        <w:tab w:val="right" w:pos="9072"/>
      </w:tabs>
    </w:pPr>
  </w:style>
  <w:style w:type="paragraph" w:customStyle="1" w:styleId="russian">
    <w:name w:val="russian"/>
    <w:autoRedefine/>
    <w:rsid w:val="00E56531"/>
    <w:pPr>
      <w:tabs>
        <w:tab w:val="left" w:pos="993"/>
      </w:tabs>
      <w:spacing w:before="120" w:after="60"/>
      <w:ind w:left="993" w:hanging="993"/>
      <w:jc w:val="both"/>
    </w:pPr>
    <w:rPr>
      <w:rFonts w:ascii="Arial" w:hAnsi="Arial" w:cs="Arial"/>
      <w:lang w:eastAsia="en-US"/>
    </w:rPr>
  </w:style>
  <w:style w:type="paragraph" w:customStyle="1" w:styleId="megj">
    <w:name w:val="megj"/>
    <w:basedOn w:val="russian"/>
    <w:autoRedefine/>
    <w:rsid w:val="00E56531"/>
    <w:pPr>
      <w:tabs>
        <w:tab w:val="clear" w:pos="993"/>
        <w:tab w:val="left" w:pos="1701"/>
        <w:tab w:val="left" w:pos="2835"/>
      </w:tabs>
      <w:ind w:left="2835" w:hanging="1842"/>
    </w:pPr>
    <w:rPr>
      <w:b/>
      <w:iCs/>
      <w:sz w:val="22"/>
      <w:szCs w:val="22"/>
    </w:rPr>
  </w:style>
  <w:style w:type="paragraph" w:customStyle="1" w:styleId="magyind">
    <w:name w:val="magy_ind"/>
    <w:basedOn w:val="russian"/>
    <w:autoRedefine/>
    <w:rsid w:val="00E56531"/>
    <w:pPr>
      <w:tabs>
        <w:tab w:val="left" w:pos="851"/>
      </w:tabs>
      <w:ind w:left="0" w:firstLine="0"/>
    </w:pPr>
    <w:rPr>
      <w:lang w:val="et-EE"/>
    </w:rPr>
  </w:style>
  <w:style w:type="paragraph" w:customStyle="1" w:styleId="magyar-nagyindent">
    <w:name w:val="magyar-nagyindent"/>
    <w:basedOn w:val="magyind"/>
    <w:autoRedefine/>
    <w:rsid w:val="00E56531"/>
    <w:pPr>
      <w:tabs>
        <w:tab w:val="clear" w:pos="851"/>
        <w:tab w:val="clear" w:pos="993"/>
        <w:tab w:val="right" w:pos="3060"/>
      </w:tabs>
      <w:ind w:left="2970" w:hanging="2970"/>
    </w:pPr>
    <w:rPr>
      <w:lang w:val="ru-RU"/>
    </w:rPr>
  </w:style>
  <w:style w:type="paragraph" w:styleId="a8">
    <w:name w:val="Balloon Text"/>
    <w:basedOn w:val="a"/>
    <w:link w:val="a9"/>
    <w:rsid w:val="00906C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06CDE"/>
    <w:rPr>
      <w:rFonts w:ascii="Tahoma" w:hAnsi="Tahoma" w:cs="Tahoma"/>
      <w:sz w:val="16"/>
      <w:szCs w:val="16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Dział 4</vt:lpstr>
      <vt:lpstr>Dział 4</vt:lpstr>
      <vt:lpstr>Dział 4</vt:lpstr>
    </vt:vector>
  </TitlesOfParts>
  <Company> 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Dział 4</dc:title>
  <dc:subject/>
  <dc:creator>A.Pilaszkiewicz</dc:creator>
  <cp:keywords/>
  <cp:lastModifiedBy>NataliaVorontsova</cp:lastModifiedBy>
  <cp:revision>5</cp:revision>
  <cp:lastPrinted>2006-02-06T13:55:00Z</cp:lastPrinted>
  <dcterms:created xsi:type="dcterms:W3CDTF">2015-02-16T14:29:00Z</dcterms:created>
  <dcterms:modified xsi:type="dcterms:W3CDTF">2015-02-18T12:50:00Z</dcterms:modified>
</cp:coreProperties>
</file>